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Staff-level Technical Product Manager with 12+ years building AI platforms and developer-facing infrastructure at scale — including hands-on design of multi-agent orchestration frameworks, agentic workflow systems, and agent context pipelines from 0 to 1. Built OpenClaw, a production multi-agent orchestration framework with gateway protocol and subagent delegation, and shipped RL post-training workbenches benchmarking GRPO/DPO across TRL, VeRL, OpenRLHF, and NeMo RL. Scaled platform infrastructure to 675M+ engagements at Intuit. NeurIPS published researcher; B.S. Computational Engineering Science, UC Berkeley.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AI Agent Orchestration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and built OpenClaw multi-agent orchestration framework with gateway protocol, subagent delegation, profile management, and session switching — enabling coordinated agentic workflows across real estate, insurance, health/dental, and financial markets with persistent agent context across sessions.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agent context pipeline using Claude MCP SDK for real-time screen capture analysis, enabling background agents to deliver contextual conversations, Pine Script generation, and automated CMA reports — translating complex multimodal AI behavior into clear, scoped agent capabilities.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platform with 100+ components, Redux Toolkit state management, and native macOS/Linux support; shipped cross-platform builds (macOS DMG with code signing/notarization, Linux .deb) with embedded terminal (20+ slash commands) and MCP server exposing screen capture tools to AI coding assistants.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agentic AI development, and go-to-market execution including customer discovery interviews and iterative product refinement — bringing structure to ambiguity in a fast-evolving AI landscape.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Agentic AI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multi-provider LLM orchestration layer (Claude, GPT-4, Gemini) with fallback routing, structured output validation, and token budget optimization — core orchestration infrastructure enabling reliable agent behavior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 with scoped agent context and context-aware advisory interactions, delivering guided agentic workflows for retail investors across mobile and web.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RAG retrieval pipeline with ChromaDB vector store and AI-powered macroeconomic analysis tools; executed go-to-market through App Store launch.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platform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platform investment decisions presented to CTO; worked with telemetry and SQL/BigQuery data to prioritize developer pain points across ~20 mobile apps and 30+ product SKUs.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product roadmaps, PRDs, and acceptance criteria for Splunk Cloud Services, translating complex distributed system behavior into clear platform priorities.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background execution capabilities for first-party applications; demoed at Splunk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repeatable RICE-based prioritization framework for 3 microservice backlogs, balancing internal partner, third-party developer, and Fortune 500 customer requirements.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 and ITSI Application Monitoring-as-a-Service.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caching capability using Redis and XC10 across the enterprise; led demand forecasting and capacity planning for SOA product suite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RLHF/DPO pipeline: Reward Lab for designing and A/B testing reward functions (RLVR, learned, hybrid) across 4 datasets, Playground for real TRL-powered GRPO/DPO training with live SSE metric streaming on Apple Silicon (MPS) or CUDA,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 and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AI evaluation platform with 5 core eval types (factuality, reasoning, instruction-following, safety, code generation), adversarial safety testing with refusal detection, and CI/CD integration with automated safety gates — providing the reliability and quality infrastructure needed for production agentic systems.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Repurposed StreamIO's multi-agent pipeline as a background agent evaluation system — multimodal AI (Claude/GPT-4V) performs spatial reasoning on prediction frames, generating structured PASS/FAIL reports with confidence scores, reducing evaluation cycles from 72 hours to ~4 minutes via zero-integration screen capture architecture.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original hand-coded BPTT neural network in C++ (2004); 2026 rewrite in PyTorch spans 413 to 8B parameters (19M-fold scale increase) with MLflow, Optuna HPO, FastAPI serving, and 823 automated tests.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