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1A1A1A"/>
          <w:sz w:val="26"/>
        </w:rPr>
        <w:t>O. FELIX AMORUWA</w:t>
      </w:r>
    </w:p>
    <w:p>
      <w:pPr>
        <w:spacing w:before="0" w:after="1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 xml:space="preserve">famoruwa@berkeley.edu  |  909-731-9011  |  </w:t>
      </w:r>
      <w:hyperlink r:id="rId9">
        <w:r>
          <w:rPr>
            <w:rFonts w:ascii="Arial" w:hAnsi="Arial"/>
            <w:sz w:val="16"/>
            <w:color w:val="2B547E"/>
            <w:u w:val="single"/>
          </w:rPr>
          <w:t xml:space="preserve">felixamoruwa.info</w:t>
        </w:r>
      </w:hyperlink>
    </w:p>
    <w:p>
      <w:pPr>
        <w:spacing w:before="55" w:after="55"/>
      </w:pPr>
      <w:r>
        <w:rPr>
          <w:rFonts w:ascii="Arial" w:hAnsi="Arial"/>
          <w:b w:val="0"/>
          <w:i w:val="0"/>
          <w:color w:val="555555"/>
          <w:sz w:val="15"/>
        </w:rPr>
        <w:t>Principal-level Technical Product Manager with 12+ years driving identity-adjacent security platforms, developer-facing infrastructure, and agentic AI governance — including hands-on MCP SDK integration, OAuth 2.0 authentication pipelines, and multi-agent orchestration frameworks with gateway protocols and session management. Shipped enterprise platforms at 675M+ engagements and 50K TPS (Intuit); owned security platform delivery for Splunk Cloud Services as Customer Zero for enterprise beta customers. NeurIPS published researcher with deep AI/ML literacy spanning LLM orchestration, adversarial safety evaluation, and autonomous agent workflows. Carnegie Mellon MS &amp; MBA; UC Berkeley BS Computational Engineering.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PROFESSIONAL EXPERIENCE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STREAMIO AI</w:t>
      </w:r>
      <w:r>
        <w:rPr>
          <w:rFonts w:ascii="Arial" w:hAnsi="Arial"/>
          <w:b w:val="0"/>
          <w:i w:val="0"/>
          <w:color w:val="888888"/>
          <w:sz w:val="14"/>
        </w:rPr>
        <w:t xml:space="preserve">  |  Oakland,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Founder &amp; CEO — Agentic AI Platform (macOS, Linux, iOS &amp; Web)</w:t>
      </w:r>
      <w:r>
        <w:rPr>
          <w:rFonts w:ascii="Arial" w:hAnsi="Arial"/>
          <w:b w:val="0"/>
          <w:i w:val="0"/>
          <w:color w:val="888888"/>
          <w:sz w:val="14"/>
        </w:rPr>
        <w:t xml:space="preserve">    09/24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Designed and implemented OpenClaw multi-agent orchestration framework with identity gateway protocol, subagent delegation, profile management, and session switching — governing coordinated autonomous AI agent workflows across multiple industry verticals; directly analogous to agentic identity governance patterns for non-human AI workloads.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Integrated Claude MCP SDK to expose screen capture tools to AI coding assistants, implementing Model Context Protocol (MCP) as the communication layer between AI agents and data sources — hands-on experience with the exact protocol Okta is deploying for next-gen agent-to-data security guardrails.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Built end-to-end authentication and secure credential pipeline using Kinde OAuth 2.0, Stripe tiered subscriptions, and Electron SafeStorage for hardware-level credential isolation — implementing token-scoped access patterns and secure session management across desktop and mobile.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Shipped MCP server exposing screen capture tools with 20+ slash commands, enforcing scoped runtime permissions per agent session — establishing unbreakable audit trails for agent-to-tool interactions.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Led 0-to-1 product strategy, agentic AI development, and go-to-market execution including customer discovery and iterative product refinement across real estate, insurance, health/dental, and financial markets.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FINTELLECT AI</w:t>
      </w:r>
      <w:r>
        <w:rPr>
          <w:rFonts w:ascii="Arial" w:hAnsi="Arial"/>
          <w:b w:val="0"/>
          <w:i w:val="0"/>
          <w:color w:val="888888"/>
          <w:sz w:val="14"/>
        </w:rPr>
        <w:t xml:space="preserve">  |  Oakland,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Founder &amp; CEO — AI Financial Platform (iOS/Android/Web)</w:t>
      </w:r>
      <w:r>
        <w:rPr>
          <w:rFonts w:ascii="Arial" w:hAnsi="Arial"/>
          <w:b w:val="0"/>
          <w:i w:val="0"/>
          <w:color w:val="888888"/>
          <w:sz w:val="14"/>
        </w:rPr>
        <w:t xml:space="preserve">    09/24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Architected multi-provider LLM orchestration layer (Claude, GPT-4, Gemini) with fallback routing, structured output validation, and token budget optimization — governing non-human AI workloads across a production mobile and web platform.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Built domain-specific conversational AI agents with scoped context and advisory guardrails, defining operational boundaries for autonomous agent interactions at the application layer.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INTUIT</w:t>
      </w:r>
      <w:r>
        <w:rPr>
          <w:rFonts w:ascii="Arial" w:hAnsi="Arial"/>
          <w:b w:val="0"/>
          <w:i w:val="0"/>
          <w:color w:val="888888"/>
          <w:sz w:val="14"/>
        </w:rPr>
        <w:t xml:space="preserve">  |  Mountain View,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Staff Product Manager — Developer Platforms &amp; Infrastructure</w:t>
      </w:r>
      <w:r>
        <w:rPr>
          <w:rFonts w:ascii="Arial" w:hAnsi="Arial"/>
          <w:b w:val="0"/>
          <w:i w:val="0"/>
          <w:color w:val="888888"/>
          <w:sz w:val="14"/>
        </w:rPr>
        <w:t xml:space="preserve">    06/21 – 09/24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Scaled ICE platform to 675M+ engagements in FY23 across QuickBooks, TurboTax, Mint, Mailchimp, and Credit Karma; drove 275% YoY growth and increased throughput from 6K to 50K TPS via rSocket migration supporting ~1.5M concurrent connections with sub-25ms TP99 — enterprise-scale platform infrastructure directly comparable to Okta's identity connection volume.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Delivered ICE Self-Service platform (DevPortal, GitOps config, ICE Playground), reducing developer onboarding from 2–3 weeks to minutes in pre-prod and &lt;24 hours for production — owning the full Alpha-to-production lifecycle for a developer-facing security-critical platform.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Extended Java and Python SDK Starter Kits with scaffolding templates, build configurations, testing frameworks, and CI/CD integration — empowering developers to reach production-ready microservices in minutes; analogous to Auth0 developer platform ownership.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Worked closely with telemetry and usage data (SQL, BigQuery) to define KPI-based prioritization across ~20 mobile apps and 30+ product SKUs; built Asterias, a declarative asset lifecycle management platform with GraphQL API for audit-trail governance.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Initiated MSaaS Drift Detection and Resolution program: authored Java JAR library to scan Git repos for configuration drift and built remediation roadmap — a posture management capability analogous to Identity Security Posture Management (ISPM).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Influenced roadmap and engineering priorities across a highly matrixed global organization without direct authority; presented strategic language investment analysis across 9 languages to CTO. DeveloperWeek 2022 speaker.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SPLUNK INC.</w:t>
      </w:r>
      <w:r>
        <w:rPr>
          <w:rFonts w:ascii="Arial" w:hAnsi="Arial"/>
          <w:b w:val="0"/>
          <w:i w:val="0"/>
          <w:color w:val="888888"/>
          <w:sz w:val="14"/>
        </w:rPr>
        <w:t xml:space="preserve">  |  San Francisco,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Senior Product Manager — Search Orchestration &amp; Cloud Security Platform</w:t>
      </w:r>
      <w:r>
        <w:rPr>
          <w:rFonts w:ascii="Arial" w:hAnsi="Arial"/>
          <w:b w:val="0"/>
          <w:i w:val="0"/>
          <w:color w:val="888888"/>
          <w:sz w:val="14"/>
        </w:rPr>
        <w:t xml:space="preserve">    01/19 – 01/21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Acted as internal Customer Zero for Splunk Cloud Services (SCS): built mirrored Enterprise topology for benchmark testing with beta customer (Assurance), achieving up to 10x query performance improvements — directly analogous to Okta's 'drinks our own champagne' Alpha-to-EA lifecycle model.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Owned Search Service (Go microservices), Search Catalog (PostgreSQL metadata service), and SPL/SPL2 — authored PRDs, user stories, and acceptance criteria; delivered Scheduler Service end-to-end in ~4 months, demoed at Splunk .conf19.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Designed RICE-based prioritization framework across 3 microservice backlogs, balancing Fortune 500 customer, internal partner, and third-party developer requirements — influencing roadmap across a matrixed security organization. Splunk .conf18 Speaker.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KAISER PERMANENTE</w:t>
      </w:r>
      <w:r>
        <w:rPr>
          <w:rFonts w:ascii="Arial" w:hAnsi="Arial"/>
          <w:b w:val="0"/>
          <w:i w:val="0"/>
          <w:color w:val="888888"/>
          <w:sz w:val="14"/>
        </w:rPr>
        <w:t xml:space="preserve">  |  Pleasanton,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SOA Technical Product Manager</w:t>
      </w:r>
      <w:r>
        <w:rPr>
          <w:rFonts w:ascii="Arial" w:hAnsi="Arial"/>
          <w:b w:val="0"/>
          <w:i w:val="0"/>
          <w:color w:val="888888"/>
          <w:sz w:val="14"/>
        </w:rPr>
        <w:t xml:space="preserve">    08/12 – 12/18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Led enterprise rollout of Splunk Logging-as-a-Service (1.7 TB daily volume, 200+ internal enterprise customers) and ITSI Application Monitoring-as-a-Service — owning security observability and audit trail infrastructure at enterprise scale.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Built Redis and XC10 caching layer across the enterprise to address session scalability, fault tolerance, and data redundancy — foundational session-state infrastructure experience relevant to hardware-bound session security architecture.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Led demand forecasting and capacity planning for SOA product suite across multiple datacenters, developing IT capacity plans that balanced security coverage and operational scale.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IBM</w:t>
      </w:r>
      <w:r>
        <w:rPr>
          <w:rFonts w:ascii="Arial" w:hAnsi="Arial"/>
          <w:b w:val="0"/>
          <w:i w:val="0"/>
          <w:color w:val="888888"/>
          <w:sz w:val="14"/>
        </w:rPr>
        <w:t xml:space="preserve">  |  Pittsburgh, PA / Foster City, CA / RTP, NC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Software Engineer — Business Intelligence Products</w:t>
      </w:r>
      <w:r>
        <w:rPr>
          <w:rFonts w:ascii="Arial" w:hAnsi="Arial"/>
          <w:b w:val="0"/>
          <w:i w:val="0"/>
          <w:color w:val="888888"/>
          <w:sz w:val="14"/>
        </w:rPr>
        <w:t xml:space="preserve">    07/05 – 03/10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Resolved multiple $1–5M high-severity enterprise customer escalations; led cross-functional root cause analysis and executive-facing resolution, improving case resolution time by 20% — establishing the technical depth and executive presence required for Principal-level stakeholder influence.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BANK OF AMERICA MERRILL LYNCH</w:t>
      </w:r>
      <w:r>
        <w:rPr>
          <w:rFonts w:ascii="Arial" w:hAnsi="Arial"/>
          <w:b w:val="0"/>
          <w:i w:val="0"/>
          <w:color w:val="888888"/>
          <w:sz w:val="14"/>
        </w:rPr>
        <w:t xml:space="preserve">  |  Charlotte, NC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Tech MBA Summer Associate — Global Corporate &amp; Investment Banking T&amp;O</w:t>
      </w:r>
      <w:r>
        <w:rPr>
          <w:rFonts w:ascii="Arial" w:hAnsi="Arial"/>
          <w:b w:val="0"/>
          <w:i w:val="0"/>
          <w:color w:val="888888"/>
          <w:sz w:val="14"/>
        </w:rPr>
        <w:t xml:space="preserve">    06/11 – 08/11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Developed Monte Carlo simulation model to optimize DMAIC phase distribution across a $494M portfolio in Global Technology &amp; Operations — quantitative analytical foundation supporting KPI-based portfolio reporting.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AI/ML RESEARCH &amp; PROJECTS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5"/>
        </w:rPr>
        <w:t>OpenClaw — Multi-Agent Identity Gateway &amp; Orchestration Framework</w:t>
      </w:r>
      <w:r>
        <w:rPr>
          <w:rFonts w:ascii="Arial" w:hAnsi="Arial"/>
          <w:b w:val="0"/>
          <w:i w:val="0"/>
          <w:color w:val="888888"/>
          <w:sz w:val="14"/>
        </w:rPr>
        <w:t xml:space="preserve">  (2024–2025)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Designed gateway protocol with subagent delegation, profile management, and session switching for coordinated autonomous AI agent workflows — implementing the core agentic identity governance patterns (identity gateways, downscoped runtime permissions, audit trails) that Okta's O4AA/A4AA portfolio is building toward.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MCP server integration exposes scoped tool access to AI coding assistants, enforcing per-session permission boundaries and structured agent-to-data communication — hands-on experience with Model Context Protocol as an identity and security control plane.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5"/>
        </w:rPr>
        <w:t>aeval — AI Model Evaluation Platform</w:t>
      </w:r>
      <w:r>
        <w:rPr>
          <w:rFonts w:ascii="Arial" w:hAnsi="Arial"/>
          <w:b w:val="0"/>
          <w:i w:val="0"/>
          <w:color w:val="888888"/>
          <w:sz w:val="14"/>
        </w:rPr>
        <w:t xml:space="preserve">  (2025–2026)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Built adversarial safety testing with refusal detection and data contamination detection — analogous to Identity Threat Protection (ITP) continuous risk evaluation for AI workloads.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CI/CD integration with automated safety gates and regression detection; statistical rigor via bootstrap confidence intervals and Welch's t-test — KPI-based security coverage reporting at the model evaluation layer. Stack: FastAPI, TimescaleDB, Redis, Next.js, Ollama.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5"/>
        </w:rPr>
        <w:t>RL Workbench — Post-Training RL Platform</w:t>
      </w:r>
      <w:r>
        <w:rPr>
          <w:rFonts w:ascii="Arial" w:hAnsi="Arial"/>
          <w:b w:val="0"/>
          <w:i w:val="0"/>
          <w:color w:val="888888"/>
          <w:sz w:val="14"/>
        </w:rPr>
        <w:t xml:space="preserve">  (2026)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Built 3-phase RL post-training workbench benchmarking GRPO/DPO across TRL, VeRL, OpenRLHF, and NeMo RL with GPU Docker passthrough — demonstrating deep AI/ML technical literacy across autonomous model training infrastructure.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5"/>
        </w:rPr>
        <w:t>BRAIN — Protein Structure Prediction ML Platform (UC Berkeley 2004; rewritten 2026)</w:t>
      </w:r>
      <w:r>
        <w:rPr>
          <w:rFonts w:ascii="Arial" w:hAnsi="Arial"/>
          <w:b w:val="0"/>
          <w:i w:val="0"/>
          <w:color w:val="888888"/>
          <w:sz w:val="14"/>
        </w:rPr>
        <w:t xml:space="preserve">  (2004 / 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NeurIPS 2014 accepted paper; original 2004 system hand-coded in C++ with custom BPTT; 2026 rewrite spans 413 to 8B parameters across 5 neural architectures in PyTorch with MLflow, Optuna HPO, and FastAPI serving.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EDUCATION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CARNEGIE MELLON UNIVERSITY, SILICON VALLEY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5"/>
        </w:rPr>
        <w:t>Master of Science — Software Management</w:t>
      </w:r>
      <w:r>
        <w:rPr>
          <w:rFonts w:ascii="Arial" w:hAnsi="Arial"/>
          <w:b w:val="0"/>
          <w:i w:val="0"/>
          <w:color w:val="888888"/>
          <w:sz w:val="14"/>
        </w:rPr>
        <w:t xml:space="preserve">    Mountain View, CA (08/16)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CARNEGIE MELLON, TEPPER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5"/>
        </w:rPr>
        <w:t>Master of Business Administration — Concentrations: Finance, Quantitative Analysis, Economics</w:t>
      </w:r>
      <w:r>
        <w:rPr>
          <w:rFonts w:ascii="Arial" w:hAnsi="Arial"/>
          <w:b w:val="0"/>
          <w:i w:val="0"/>
          <w:color w:val="888888"/>
          <w:sz w:val="14"/>
        </w:rPr>
        <w:t xml:space="preserve">    Pittsburgh, PA (03/12)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UC BERKELEY, COLLEGE OF ENGINEERING &amp; HAAS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5"/>
        </w:rPr>
        <w:t>Bachelor of Science — Computational Engineering Science</w:t>
      </w:r>
      <w:r>
        <w:rPr>
          <w:rFonts w:ascii="Arial" w:hAnsi="Arial"/>
          <w:b w:val="0"/>
          <w:i w:val="0"/>
          <w:color w:val="888888"/>
          <w:sz w:val="14"/>
        </w:rPr>
        <w:t xml:space="preserve">    Berkeley, CA (12/05)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5"/>
        </w:rPr>
        <w:t>Certificate — Corporate Finance for Financial Engineering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TEACHING EXPERIENCE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DE ANZA COLLEGE</w:t>
      </w:r>
      <w:r>
        <w:rPr>
          <w:rFonts w:ascii="Arial" w:hAnsi="Arial"/>
          <w:b w:val="0"/>
          <w:i w:val="0"/>
          <w:color w:val="888888"/>
          <w:sz w:val="14"/>
        </w:rPr>
        <w:t xml:space="preserve">  |  Cupertino,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Adjunct Faculty — Computer Information Systems Department</w:t>
      </w:r>
      <w:r>
        <w:rPr>
          <w:rFonts w:ascii="Arial" w:hAnsi="Arial"/>
          <w:b w:val="0"/>
          <w:i w:val="0"/>
          <w:color w:val="888888"/>
          <w:sz w:val="14"/>
        </w:rPr>
        <w:t xml:space="preserve">    04/18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CIS 35A/B, 36A/B — Java Programming; CIS 64C/G — PL/SQL; CIS 44F — Data Analytics; CIS 64E — Large Scale Cloud Computing (AWS, GCP); CIS 102 — Ethical Hacking; CIS 104 — Digital Forensics &amp; Hacker Investigation; CIS 95F — Managing Cloud Projects.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ADDITIONAL INFORMATION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FAA Commercial Drone License; FAA Private Pilot License (intended CFI)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O'Reilly &amp; OER Publications: Data Analytics and Managing Cloud Projects (forthcoming Summer 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First Tee Assistant Golf Coach — San Francisco Chapter (2012–Present), Pittsburgh Chapter (2011–2012)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5"/>
        </w:rPr>
        <w:t>•</w:t>
        <w:tab/>
      </w:r>
      <w:r>
        <w:rPr>
          <w:rFonts w:ascii="Arial" w:hAnsi="Arial"/>
          <w:b w:val="0"/>
          <w:i w:val="0"/>
          <w:color w:val="1A1A1A"/>
          <w:sz w:val="15"/>
        </w:rPr>
        <w:t>Interests: Classical &amp; Jazz Saxophone (Alto/Tenor/Baritone), Triathlon, Golf, Intramural Basketball &amp; Soccer</w:t>
      </w:r>
    </w:p>
    <w:sectPr w:rsidR="00FC693F" w:rsidRPr="0006063C" w:rsidSect="00034616">
      <w:pgSz w:w="12240" w:h="15840"/>
      <w:pgMar w:top="380" w:right="560" w:bottom="380" w:left="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elixamoruw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