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60" w:after="60"/>
      </w:pPr>
      <w:r>
        <w:rPr>
          <w:rFonts w:ascii="Arial" w:hAnsi="Arial"/>
          <w:b w:val="0"/>
          <w:i w:val="0"/>
          <w:color w:val="555555"/>
          <w:sz w:val="16"/>
        </w:rPr>
        <w:t>Technical Product Manager with 12+ years building developer-facing APIs, SDKs, and ML platform infrastructure — scaling ICE to 675M+ engagements and 50K TPS at sub-25ms TP99 (Intuit), and shipping a full RL post-training workbench benchmarking GRPO/DPO across TRL, VeRL, OpenRLHF, and NeMo RL. Deep builder credibility in production inference pipelines, multi-provider LLM orchestration, and multi-component AI workflows. NeurIPS published researcher; B.S. Computational Engineering Science, UC Berkeley.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Scaled ICE platform to 675M+ engagements in FY23 across QuickBooks, TurboTax, Mint, Mailchimp, and Credit Karma — 275% YoY growth — by driving throughput from 6K to 50K TPS via rSocket migration supporting ~1.5M concurrent connections at sub-25ms TP99.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 that reduced developer onboarding from 2–3 weeks to minutes in pre-prod and &lt;24 hours for production, while mitigating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Extended Java and Python SDK Starter Kits with scaffolding templates, build configurations (Gradle/Maven), testing frameworks, and CI/CD integration — empowering developers to go from zero to production-ready microservice in minutes.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Asterias, a declarative asset lifecycle management platform with GraphQL API; worked closely with telemetry and usage data (SQL, BigQuery) to prioritize developer pain points across ~20 mobile apps and 30+ product SKUs.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Conducted enterprise-wide Service Language Assessment across 9 languages, analyzing usage data and developer feedback to inform strategic language investment decisions presented to CTO.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ICE Presence in async chat, generating $480K/month in additional invoicing; deployed Background-to-Foreground Messaging on iOS/Android with &lt;100ms latency. DeveloperWeek 2022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streamio.ai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OpenClaw multi-agent orchestration framework with gateway protocol and subagent delegation — enabling coordinated multi-component AI workflows analogous to Baseten's Chains initiative across real estate, insurance, and financial markets.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Engineered real-time HLS inference pipeline: multi-stream canvas compositing (up to 9 concurrent sources at 30fps), FFmpeg transcoding, WebSocket communication layer, and local HTTP playback server — production-grade async inference architecture.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Electron + React + TypeScript desktop application with 100+ components, Redux Toolkit state management, and native macOS/Linux support — delivering real-time AI analysis via Claude (MCP SDK) with contextual conversation workflows.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Shipped cross-platform builds (macOS DMG with code signing/notarization, Linux .deb) with embedded terminal (xterm.js/node-pty, 20+ slash commands) and MCP server exposing screen capture tools to AI coding assistants.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0-to-1 product strategy, AI development, and go-to-market execution including customer discovery interviews and iterative product refinement.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fintellectai.io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multi-provider LLM orchestration (Claude, GPT-4, Gemini) with fallback routing, structured output validation, and token budget optimization — hands-on production model serving across frontier models.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RAG retrieval pipeline with ChromaDB vector store and domain-specific conversational AI agents scoped to distinct financial focal points, delivering context-aware advisory interactions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Executed go-to-market through App Store launch; led customer discovery efforts and established partnerships with industry influencers to drive product-led growth.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Search Service (Go microservices), Search Catalog (PostgreSQL metadata service), and Splunk Processing Language (SPL/SPL2) — built roadmaps, PRDs, and acceptance criteria for Splunk Cloud Services.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Scheduler Service end-to-end in ~4 months, enabling asynchronous scheduled search capabilities for first-party applications; demoed at Splunk .conf19.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query performance optimization for beta customer (Assurance), achieving up to 10x improvements in SCS search — building mirrored Enterprise topology for benchmark testing. Splunk .conf18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development and enterprise rollout of Splunk Logging-as-a-Service (1.7 TB daily volume, 200+ internal enterprise customers) and ITSI Application Monitoring-as-a-Service.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Redis caching capability across the enterprise to address scalability, fault tolerance, and data redundancy; led demand forecasting and capacity planning across multiple datacenters.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software; led cross-functional root cause analysis and customer-facing resolution, improving case resolution time by 20% across the Support Organization.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 covering the full RLHF/DPO pipeline: Reward Lab for designing and A/B testing reward functions (RLVR, learned, hybrid) across 4 datasets, Playground for real TRL-powered GRPO/DPO training with live SSE metric streaming on Apple Silicon (MPS) or CUDA, and Arena for head-to-head framework benchmarking (TRL, VeRL, OpenRLHF, NeMo RL) with GPU passthrough in Docker containers — directly analogous to Baseten Loops.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12 RL algorithms (PPO, GRPO, DAPO, REINFORCE, REINFORCE++, RLOO, DPO, SimPO, IPO, KTO, ORPO, SPPO) with algorithm-specific metric profiles, cross-tab workflow lineage tracking, and standardized throughput/memory/convergence benchmarking across frameworks.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evaluation platform with 5 core eval types (factuality, reasoning, instruction-following, safety, code generation), adversarial safety testing, and CI/CD integration with regression detection and automated safety gates — full observability and management experience for model inference.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Stack: FastAPI orchestrator, TimescaleDB, Redis job queue, Next.js dashboard, Ollama; statistical rigor via bootstrap confidence intervals, Welch's t-test, and Cohen's d effect size.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ML platform in PyTorch with 5 neural architectures (feedforward, GRU, Transformer, ESM-2, multi-task), MLflow experiment tracking, Optuna HPO, and FastAPI serving — 823 automated tests, Docker orchestration (6 containers); spans 413 to 8B parameters.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NeurIPS 2014 accepted paper on artificial neural networks for protein secondary structure prediction.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5"/>
        </w:rPr>
        <w:t xml:space="preserve">  (2025)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automated visual evaluation system repurposing screen capture + HLS streaming + multimodal AI pipeline to score model outputs against natural-language rubrics — reducing evaluation cycles from 72 hours to ~4 minutes; zero-integration architecture captures from any visualization tool (RViz, Matplotlib).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CIS 35A/B, 36A/B — Java Programming; CIS 64C/G — Introduction to PL/SQL; CIS 44F — Introduction to Data Analytics; CIS 64E — Fundamentals of Large Scale Cloud Computing (AWS, GCP); CIS 102 — Ethical Hacking; CIS 104 — Digital Forensics; CIS 95F — Managing Cloud Projects.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40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