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Forward Deployed Product Manager and AI Agent builder with 12+ years owning complex deployments end-to-end — from pre-sale scoping to post-go-live optimization. Designed and shipped production multi-agent orchestration systems (OpenClaw) and domain-specific conversational AI agents across real estate, financial, and insurance verticals, with hands-on LLM orchestration (Claude, GPT-4, Gemini) and RAG pipelines. Scaled enterprise platform deployments to 675M+ engagements at Intuit, delivering measurable customer ROI and leading senior stakeholder relationships across Fortune 500 accounts. NeurIPS published researcher; UC Berkeley Engineering.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Agent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and deployed OpenClaw multi-agent orchestration framework with gateway protocol, subagent delegation, profile management, and session switching — enabling coordinated AI agent workflows across real estate, insurance, health/dental, and financial markets verticals, directly analogous to enterprise conversational AI agent deployment.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AI agent pipeline using Claude (MCP SDK) for real-time contextual conversations, automated real estate CMA report generation via Redfin/Zillow APIs, and Pine Script generation — owning the full agent lifecycle from use-case definition through go-live and iteration.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 and go-to-market execution including customer discovery interviews, iterative agent refinement based on user feedback, and cross-functional coordination across engineering, design, and external partners.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desktop application (Electron + React + TypeScript, 100+ components, Redux Toolkit) with native macOS/Linux support, embedded terminal (20+ slash commands), and MCP server exposing screen capture tools to AI coding assistants.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subscriptions, Electron SafeStorage) and integrated ElevenLabs TTS/STT with 6 auto-classified voice profiles — delivering production-grade, customer-facing AI agent infrastructure.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Conversational AI Agent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and deployed domain-specific Fintellect Agents — conversational AI agents embedded in mobile and web, each scoped to distinct financial focal points, delivering guided, context-aware advisory interactions to retail investors.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hands-on LLM-first product engineering.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discovery, refined agent use cases and workflows based on trader feedback, established influencer partnerships, and executed go-to-market through App Store launch — owning outcomes end-to-end.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platform engagements, scaling to 675M+ in FY23 across QuickBooks, TurboTax, Mint, Mailchimp, and Credit Karma — driving measurable customer ROI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 — owned post-go-live optimization and outcome metrics.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MSaaS, coordinating cross-functional delivery across engineering, design, and documentation teams to meet production deadline.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Worked closely with telemetry and usage data (SQL, BigQuery) to prioritize pain points across ~20 mobile apps and 30+ product SKUs; conducted enterprise-wide Service Language Assessment across 9 languages presented to CTO.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 (June–Oct 2019) — scoped, built, and launched scheduled search capabilities for first-party applications, demoed at Splunk .conf19; exemplifies bias for action in ambiguous, fast-paced environments.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enterprise beta customer (Assurance), building mirrored topology for benchmark testing and achieving up to 10x performance improvements — directly owned customer outcomes and senior stakeholder relationships.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across 3 microservice backlogs, balancing Fortune 500 customer requirements with internal partner and third-party developer needs.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enterprise customers) and ITSI Application Monitoring-as-a-Service — owned deployment lifecycle and customer success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across the enterprise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products;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automated safety gates — directly applicable to AI agent quality assurance and deployment validation.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Stack: FastAPI orchestrator, TimescaleDB, Redis job queue, Next.js dashboard, Ollama; statistical rigor via bootstrap confidence intervals, Welch's t-test, Cohen's d effect size, and saturation detection.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A/B testing reward functions, Playground for real TRL-powered GRPO/DPO training with live SSE metric streaming, and Arena for head-to-head framework benchmarking (TRL, VeRL, OpenRLHF, NeMo RL) with GPU passthrough.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DPO, SimPO, IPO, KTO, ORPO, SPPO) with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ML platform in PyTorch with 5 neural architectures, MLflow experiment tracking, Optuna HPO, and FastAPI serving — 823 automated tests, Docker orchestration (6 containers), 413 to 8B parameter scale.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