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60" w:after="60"/>
      </w:pPr>
      <w:r>
        <w:rPr>
          <w:rFonts w:ascii="Arial" w:hAnsi="Arial"/>
          <w:b w:val="0"/>
          <w:i w:val="0"/>
          <w:color w:val="555555"/>
          <w:sz w:val="16"/>
        </w:rPr>
        <w:t>Senior Product Manager with 12+ years delivering enterprise B2B SaaS products at scale — including real-time AI-powered platforms, conversational agent frameworks, and developer infrastructure serving 675M+ engagements. Proven track record shipping end-to-end AI products across both high-growth startup and established enterprise environments, with hands-on experience managing LLM deployments, latency constraints, and model training tradeoffs. NeurIPS published researcher; MBA (Carnegie Mellon Tepper) and B.S. Computational Engineering (UC Berkeley).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5"/>
        </w:rPr>
        <w:t xml:space="preserve">  |  Mountain View,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Staff Product Manager — Enterprise Platform &amp; Real-Time AI Infrastructure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Scaled enterprise B2B SaaS platform to 675M+ engagements in FY23 across QuickBooks, TurboTax, Mint, Mailchimp, and Credit Karma — driving 275% YoY growth through data-driven roadmap prioritization and cross-functional execution with Engineering, Data Science, and Design.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ICE Presence in async chat, generating $480K/month in additional invoicing; deployed real-time Background-to-Foreground Messaging on iOS/Android with &lt;100ms latency — directly analogous to real-time agent assist notification and in-session AI guidance architectures.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Scaled platform throughput from 6K to 50K TPS via rSocket migration supporting ~1.5M concurrent connections with sub-25ms TP99 — demonstrating applied expertise in latency constraints and optimization at enterprise scale.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ICE Self-Service platform (DevPortal, GitOps config, ICE Playground), reducing developer onboarding from 2–3 weeks to minutes in pre-prod and &lt;24 hours for production, while mitigating $1M+ in projected opex growth.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Leveraged telemetry and usage data (SQL, BigQuery) to prioritize product investments across ~20 mobile apps and 30+ SKUs; built RICE-equivalent frameworks to balance internal partner, enterprise customer, and developer requirements.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Mailchimp GCP-to-AWS migration for MSaaS and initiated Drift Detection program — writing Java JAR library to scan Git repos for configuration drift and building remediation roadmap using OpenRewrite. DeveloperWeek 2022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Founder &amp; CEO — Real-Time AI Assistance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and shipped 0-to-1 real-time AI assistance platform (macOS, Linux, iOS, Web) integrating LLM inference (Claude MCP SDK) with live screen capture — enabling contextual, in-session AI guidance with sub-second response latency across real estate, insurance, health/dental, and financial markets verticals.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Implemented OpenClaw multi-agent orchestration framework with gateway protocol and subagent delegation — enabling coordinated AI agent workflows analogous to contact center agent assist routing and escalation architectures.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Integrated ElevenLabs TTS/STT with 6 auto-classified voice profiles and SHA-256 audio caching — delivering voice AI capabilities directly relevant to contact center real-time assistance use cases.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end-to-end product lifecycle: customer discovery interviews, iterative refinement, go-to-market execution, and cross-platform deployment (macOS DMG with code signing/notarization, Linux .deb, iOS via React Native/Expo).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end-to-end auth and payments pipeline using Kinde OAuth 2.0, Stripe subscriptions (tiered plans), and Electron SafeStorage for secure credential management.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Founder &amp; CEO — Conversational AI Agent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Architected RAG retrieval pipeline with ChromaDB vector store, multi-provider LLM orchestration (Claude, GPT-4, Gemini) with fallback routing, structured output validation, and token budget optimization — managing real-world model training tradeoffs and accuracy challenges in production.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domain-specific conversational AI agents embedded in mobile and web app, each scoped to distinct advisory focal points — delivering context-aware, guided interactions at scale; executed go-to-market through App Store launch with customer discovery and influencer partnerships.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5"/>
        </w:rPr>
        <w:t xml:space="preserve">  |  San Francisco,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Senior Product Manager — Search Orchestration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Owned Search Service (Go microservices), Search Catalog (PostgreSQL metadata service), and Splunk Processing Language (SPL/SPL2) — drove end-to-end product lifecycle from PRD through market launch for Splunk Cloud Services (SCS).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query performance optimization initiative for enterprise beta customer (Assurance), building mirrored topology for benchmark testing and achieving up to 10x performance improvements — demonstrating applied expertise in latency optimization and data-driven decision making.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Delivered Scheduler Service end-to-end in ~4 months, enabling scheduled search for first-party applications; designed RICE-based prioritization framework balancing Fortune 500 enterprise, internal partner, and third-party developer requirements. Splunk .conf18 &amp; .conf19 Speaker.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5"/>
        </w:rPr>
        <w:t xml:space="preserve">  |  Pleasanton,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SOA Technical Product Manager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Led enterprise rollout of Splunk Logging-as-a-Service (1.7 TB daily volume, 200+ internal enterprise customers) and ITSI Application Monitoring-as-a-Service — delivering large-scale B2B SaaS platform to enterprise stakeholders.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Redis and XC10 caching capability across the enterprise to address scalability, fault tolerance, and data redundancy; led demand forecasting and capacity planning across multiple datacenters.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5"/>
        </w:rPr>
        <w:t xml:space="preserve">  |  Pittsburgh, PA / Foster City, CA / RTP,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Resolved multiple $1–5M high-severity customer escalations for enterprise BI software; led cross-functional root cause analysis and customer-facing resolution, improving case resolution time by 20% — building client advocacy and technical depth foundational to enterprise AI product management.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BANK OF AMERICA MERRILL LYNCH</w:t>
      </w:r>
      <w:r>
        <w:rPr>
          <w:rFonts w:ascii="Arial" w:hAnsi="Arial"/>
          <w:b w:val="0"/>
          <w:i w:val="0"/>
          <w:color w:val="888888"/>
          <w:sz w:val="15"/>
        </w:rPr>
        <w:t xml:space="preserve">  |  Charlotte, NC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Tech MBA Summer Associate — Global Corporate &amp; Investment Banking T&amp;O</w:t>
      </w:r>
      <w:r>
        <w:rPr>
          <w:rFonts w:ascii="Arial" w:hAnsi="Arial"/>
          <w:b w:val="0"/>
          <w:i w:val="0"/>
          <w:color w:val="888888"/>
          <w:sz w:val="15"/>
        </w:rPr>
        <w:t xml:space="preserve">    06/11 – 08/11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Developed Monte Carlo simulation model to optimize DMAIC phase distribution across a $494M portfolio — demonstrating quantitative analytical rigor applied to data-driven decision making.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aeval — AI Model Evaluation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local-first LLM evaluation platform with 5 core eval types (factuality, reasoning, instruction-following, safety, code generation), adversarial safety testing with refusal detection, and data contamination detection — directly applicable to managing accuracy challenges and model training tradeoffs in enterprise AI deployments.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Statistical rigor: bootstrap confidence intervals, Welch's t-test, Cohen's d effect size, saturation detection; CI/CD integration with regression detection and automated safety gates. Stack: FastAPI, TimescaleDB, Redis, Next.js, Ollama.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RL Workbench — Post-Training RL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Built 3-phase RL post-training workbench benchmarking GRPO/DPO across TRL, VeRL, OpenRLHF, and NeMo RL — implementing 12 RL algorithms (PPO, GRPO, DPO, SimPO, KTO, and others) with standardized throughput/memory/convergence benchmarking; demonstrates deep applied AI proficiency in LLM post-training and optimization.</w:t>
      </w:r>
    </w:p>
    <w:p>
      <w:pPr>
        <w:spacing w:before="45" w:after="5"/>
      </w:pPr>
      <w:r>
        <w:rPr>
          <w:rFonts w:ascii="Arial" w:hAnsi="Arial"/>
          <w:b/>
          <w:i w:val="0"/>
          <w:color w:val="1A1A1A"/>
          <w:sz w:val="16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NeurIPS 2014 accepted paper; production ML platform in PyTorch with 5 neural architectures, MLflow experiment tracking, Optuna HPO, and FastAPI serving — spanning 413 to 8B parameters (19M-fold scale increase).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28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55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5"/>
        </w:rPr>
        <w:t xml:space="preserve">  |  Cupertino, CA</w:t>
      </w:r>
    </w:p>
    <w:p>
      <w:pPr>
        <w:spacing w:before="3" w:after="10"/>
      </w:pPr>
      <w:r>
        <w:rPr>
          <w:rFonts w:ascii="Arial" w:hAnsi="Arial"/>
          <w:b w:val="0"/>
          <w:i/>
          <w:color w:val="555555"/>
          <w:sz w:val="17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Courses: Java Programming (CIS 35A/B, 36A/B), Introduction to PL/SQL (CIS 64C/G), Introduction to Data Analytics (CIS 44F), Fundamentals of Large Scale Cloud Computing — AWS, GCP (CIS 64E), Ethical Hacking (CIS 102), Digital Forensics (CIS 104), Managing Cloud Projects (CIS 95F).</w:t>
      </w:r>
    </w:p>
    <w:p>
      <w:pPr>
        <w:spacing w:before="100" w:after="18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FAA Commercial Drone License; FAA Private Pilot License (intended CFI)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O'Reilly &amp; OER Publications: Data Analytics and Managing Cloud Projects (forthcoming Summer 2026)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First Tee Assistant Golf Coach — San Francisco Chapter (2012–Present), Pittsburgh Chapter (2011–2012)</w:t>
      </w:r>
    </w:p>
    <w:p>
      <w:pPr>
        <w:spacing w:before="4" w:after="4"/>
        <w:ind w:left="360" w:hanging="200"/>
      </w:pPr>
      <w:r>
        <w:rPr>
          <w:rFonts w:ascii="Arial" w:hAnsi="Arial"/>
          <w:b w:val="0"/>
          <w:i w:val="0"/>
          <w:color w:val="1A1A1A"/>
          <w:sz w:val="16"/>
        </w:rPr>
        <w:t>•</w:t>
        <w:tab/>
      </w:r>
      <w:r>
        <w:rPr>
          <w:rFonts w:ascii="Arial" w:hAnsi="Arial"/>
          <w:b w:val="0"/>
          <w:i w:val="0"/>
          <w:color w:val="1A1A1A"/>
          <w:sz w:val="16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400" w:right="560" w:bottom="400" w:left="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