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Technical PM at the research-product boundary — 12+ years building developer-facing platforms and AI agent frameworks, from shipping SDK tooling at 675M+ engagements (Intuit) to building multi-agent orchestration systems, RL post-training workbenches, and AI evaluation harnesses from scratch. Designed and implemented subagent delegation frameworks, MCP-integrated agent pipelines, and statistical evaluation systems measuring task completion, error recovery, and hallucination frequency. NeurIPS published ML researcher; hands-on practitioner across PPO, GRPO, DPO, and 9 additional RL algorithms.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&amp; Agent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workbench: Reward Lab for designing and A/B testing reward functions (RLVR, learned, hybrid) across 4 datasets (GSM8K, MATH, HumanEval, UltraFeedback); Playground for real TRL-powered GRPO/DPO training with live SSE metric streaming on MPS/CUDA;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REINFORCE++, RLOO, DPO, SimPO, IPO, KTO, ORPO, SPPO) with algorithm-specific metric profiles, cross-tab workflow lineage tracking, and standardized throughput/memory/convergence benchmarking — the same empirical evaluation discipline required to measure agent quality at scale.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agent evaluation harness with 5 core eval types (factuality, reasoning, instruction-following, safety, code generation), adversarial safety testing with refusal detection, and data contamination detection — directly measuring task completion rate, hallucination frequency, and error recovery across model versions.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detection; CI/CD integration with regression detection and automated safety gates.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Agent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automated agent evaluation harness that scores model outputs against natural-language rubrics — reducing evaluation cycles from 72 hours to ~4 minutes; multimodal AI (Claude/GPT-4V) performs spatial reasoning on prediction frames, generating structured PASS/FAIL reports with confidence scores and edge-case flagging.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Zero-integration architecture captures agent outputs from any visualization tool via screen capture; directly applicable to analyzing agent traces at scale and identifying failure modes, loops, and unproductive execution paths.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published. Production ML platform in PyTorch with 5 neural architectures, MLflow experiment tracking, Optuna HPO, and FastAPI serving — 823 automated tests, Docker orchestration (6 containers); spans 413 to 8B parameters. Original 2004 system: hand-coded BPTT in C++.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Multi-Agent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and implemented OpenClaw multi-agent orchestration framework with gateway protocol, subagent delegation, profile management, and session switching — enabling coordinated AI agent workflows that decompose tasks across real estate, insurance, health/dental, and financial markets domains; directly analogous to agent planning and execution frameworks that balance autonomy with predictability.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Integrated Claude MCP SDK to expose screen capture tools to AI coding assistants, defining agent extensibility primitives — tool access, codebase context, and external service calls — that mirror the MCP and plugin architecture central to the Agent Harness.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MCP server and embedded terminal (xterm.js/node-pty, 20+ slash commands) enabling developers to observe and steer agent behavior in real time; built cross-platform desktop builds (macOS DMG with code signing/notarization, Linux .deb) with native ScreenCaptureKit integration via Swift.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desktop application with 100+ components, Redux Toolkit state management, real-time HLS livestreaming pipeline (up to 9 concurrent sources, FFmpeg transcoding, WebSocket layer), and end-to-end auth/payments (Kinde OAuth 2.0, Stripe, Electron SafeStorage).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LLM Agent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multi-provider LLM orchestration layer (Claude, GPT-4, Gemini) with fallback routing, structured output validation, and token budget optimization — implementing failure recovery and error handling patterns essential to reliable agent execution.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Fintellect Agents with RAG retrieval (ChromaDB), each scoped to distinct financial focal points — designing agent decomposition, context scoping, and guardrails that keep agents on productive paths without micromanagement.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Executed 0-to-1 product strategy through App Store launch, incorporating customer discovery and iterative refinement based on empirical usage patterns.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ICE engagements, scaling to 675M+ in FY23 across QuickBooks, TurboTax, Mint, Mailchimp, and Credit Karma; scaled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Extended Java and Python SDK Starter Kits with scaffolding templates, build configurations (Gradle/Maven), testing frameworks, and CI/CD integration — empowering developers to go from zero to production-ready microservice in minutes; delivered ICE Self-Service DevPortal reducing onboarding from 2–3 weeks to &lt;24 hours.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Worked closely with telemetry and usage data (SQL, BigQuery) to prioritize developer pain points across ~20 mobile apps and 30+ product SKUs — the same measurement discipline needed to analyze agent traces at scale and turn patterns into concrete improvements.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decisions presented to CTO; built Asterias, a declarative asset lifecycle management platform with GraphQL API.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roadmaps, PRDs, and acceptance criteria for Splunk Cloud Services; delivered Scheduler Service end-to-end in ~4 months, demoed at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benchmarking initiative, building mirrored Enterprise topology for benchmark testing and achieving up to 10x performance improvements — applying the same empirical, measurement-first approach to defining what 'good' looks like for complex system behavior.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customers), Redis/XC10 caching for fault tolerance, and capacity planning across multiple datacenters — building platform reliability and observability discipline at enterprise scale.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customer-facing resolution, improving case resolution time by 20% — developing the failure-mode diagnosis discipline central to agent trace analysis.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Java Programming (CIS 35A/B, 36A/B), Introduction to PL/SQL (CIS 64C/G), Data Analytics (CIS 44F), Large Scale Cloud Computing — AWS, GCP (CIS 64E), Ethical Hacking (CIS 102), Digital Forensics (CIS 104), Managing Cloud Projects (CIS 95F).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