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6"/>
        </w:rPr>
        <w:t>Technical Product Manager with 12+ years shipping API-driven, developer-facing platforms at scale — including a fintech trading platform (Fintellect AI) covering asset class selection, execution planning, and risk management, and enterprise B2B SDK/API infrastructure serving 675M+ engagements at Intuit. Topstep-funded trader with hands-on depth in equities, macro analysis, and multi-asset execution. AI-native PM workflow: daily use of Claude, custom agents, and LLM orchestration pipelines in product discovery, PRD drafting, and prototyping. UC Berkeley Engineering + CMU MBA (Finance, Quant Analysis).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mobile-first AI trading and financial education platform for retail investors — covering asset class selection, execution planning, and risk management — shipped to App Store production with go-to-market execution including customer discovery and influencer partnerships.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RAG retrieval pipeline with ChromaDB vector store, multi-provider LLM orchestration (Claude, GPT-4, Gemini) with fallback routing, structured output validation, and token budget optimization — enabling API-driven, context-aware advisory interactions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Fintellect Agents: conversational AI agents scoped to distinct financial focal points (macro analysis, trade execution, risk), delivering guided advisory interactions embedded in mobile and web.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AI-powered charting and macroeconomic analysis tools for asset class selection and execution planning; integrated LLM models for automated trade analysis — directly analogous to new asset class product surfaces.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Topstep-funded trader: demonstrated live trading depth across equities and macro instruments, informing product decisions with first-hand execution and order management experience.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OpenClaw multi-agent orchestration framework with gateway protocol and subagent delegation — enabling coordinated AI agent workflows across financial markets, real estate, and insurance verticals; AI-native PM workflow using Claude MCP SDK and custom agents daily for PRD drafting, customer-call synthesis, and prototyping.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end-to-end auth and payments pipeline (Kinde OAuth 2.0, Stripe tiered subscriptions, Electron SafeStorage) and shipped cross-platform desktop builds (macOS DMG with code signing/notarization, Linux .deb) — demonstrating full-stack 0-to-1 product delivery at production cadence.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API design, and go-to-market execution including customer discovery interviews and iterative product refinement across B2C and B2B2C use cases.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Staff Product Manager — Developer Platforms &amp; API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275% YoY growth in ICE engagements, scaling to 675M+ in FY23 across QuickBooks, TurboTax, Mint, Mailchimp, and Credit Karma; scaled throughput from 6K to 50K TPS via rSocket migration supporting ~1.5M concurrent connections with sub-25ms TP99 — measuring partner adoption and production usage as primary success metrics.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Java and Python SDK Starter Kits end-to-end: scaffolding templates, build configurations (Gradle/Maven), testing frameworks, and CI/CD integration — empowering developers to go from zero to production-ready microservice in minutes; improved SDK ergonomics based on developer feedback loops.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Used SQL and BigQuery telemetry to prioritize developer pain points across ~20 mobile apps and 30+ product SKUs; built Asterias, a declarative asset lifecycle management platform with GraphQL API — translating usage data into sequenced backlogs.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languages, analyzing usage data and developer feedback to inform strategic investment decisions presented to CTO; led Mailchimp GCP-to-AWS migration delivering Golang template and MySQL persistence integration.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 &amp; API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 — wrote PRDs, API contracts, user stories, and acceptance criteria for Splunk Cloud Services (SCS) at production cadence.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months, enabling scheduled search capabilities for first-party applications; achieved up to 10x query performance improvements for Fortune 500 beta customer (Assurance) via mirrored benchmark topology.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RICE-based prioritization framework for 3 microservice backlogs, balancing internal partner, third-party developer, and Fortune 500 customer requirements — pushing back on requests that didn't fit platform architecture.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development and enterprise rollout of Splunk Logging-as-a-Service (1.7 TB daily volume, 200+ internal enterprise customers) and ITSI Application Monitoring-as-a-Service in a regulated healthcare environment — shipping in parallel with compliance and legal stakeholders.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Redis caching capability across the enterprise for scalability and fault tolerance; led demand forecasting and capacity planning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Monte Carlo simulation model to optimize DMAIC phase distribution across a $494M portfolio in Global Technology &amp; Operations — institutional finance exposure informing broker-dealer and market structure product decisions.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and customer-facing resolution, improving case resolution time by 20% — engineering foundation supporting technical PM credibility and partner-reported blocker resolution.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evaluation platform with 5 core eval types (factuality, reasoning, instruction-following, safety, code generation), adversarial safety testing with refusal detection, and CI/CD regression gates. Stack: FastAPI orchestrator, TimescaleDB, Redis job queue, Next.js dashboard, Ollama — demonstrating AI-native tooling depth relevant to partner-facing product analytics.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 benchmarking GRPO/DPO across TRL, VeRL, OpenRLHF, and NeMo RL; implemented 12 RL algorithms with standardized throughput/memory/convergence benchmarking — AI-native research informing LLM orchestration used in Fintellect trading agents.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published. Production ML platform in PyTorch with 5 neural architectures, MLflow experiment tracking, Optuna HPO, and FastAPI serving; original 2004 system hand-coded in C++ with custom BPTT.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CIS 35A/B, 36A/B — Java Programming; CIS 64C/64G — PL/SQL; CIS 44F — Data Analytics; CIS 64E — Large Scale Cloud Computing (AWS, GCP); CIS 102 — Ethical Hacking; CIS 104 — Digital Forensics; CIS 95F — Managing Cloud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Topstep Funded Trader — live trading credential across equities and macro instruments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AI-native PM workflow: daily use of Claude (MCP SDK), custom multi-agent orchestration, ChatGPT, and LLM pipelines for PRD drafting, customer-call synthesis, data exploration, and prototyping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(2012–Present); Interests: Classical &amp; Jazz Saxophone, Triathlon, Golf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