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  <w:jc w:val="center"/>
      </w:pPr>
      <w:r>
        <w:rPr>
          <w:rFonts w:ascii="Arial" w:hAnsi="Arial"/>
          <w:b/>
          <w:i w:val="0"/>
          <w:color w:val="1A1A1A"/>
          <w:sz w:val="26"/>
        </w:rPr>
        <w:t>O. FELIX AMORUWA</w:t>
      </w:r>
    </w:p>
    <w:p>
      <w:pPr>
        <w:spacing w:before="0" w:after="10"/>
        <w:jc w:val="center"/>
      </w:pPr>
      <w:r>
        <w:rPr>
          <w:rFonts w:ascii="Arial" w:hAnsi="Arial"/>
          <w:b w:val="0"/>
          <w:i w:val="0"/>
          <w:color w:val="555555"/>
          <w:sz w:val="16"/>
        </w:rPr>
        <w:t xml:space="preserve">famoruwa@berkeley.edu  |  909-731-9011  |  </w:t>
      </w:r>
      <w:hyperlink r:id="rId9">
        <w:r>
          <w:rPr>
            <w:rFonts w:ascii="Arial" w:hAnsi="Arial"/>
            <w:sz w:val="16"/>
            <w:color w:val="2B547E"/>
            <w:u w:val="single"/>
          </w:rPr>
          <w:t xml:space="preserve">felixamoruwa.info</w:t>
        </w:r>
      </w:hyperlink>
    </w:p>
    <w:p>
      <w:pPr>
        <w:spacing w:before="55" w:after="55"/>
      </w:pPr>
      <w:r>
        <w:rPr>
          <w:rFonts w:ascii="Arial" w:hAnsi="Arial"/>
          <w:b w:val="0"/>
          <w:i w:val="0"/>
          <w:color w:val="555555"/>
          <w:sz w:val="16"/>
        </w:rPr>
        <w:t>Consumer AI product leader with 12+ years building AI-powered products at scale — from shipping a RAG-orchestrated, multi-LLM financial advisory platform for retail investors (Fintellect AI) to scaling Intuit's consumer platform to 675M+ engagements. Deep technical fluency in LLM architectures, agentic systems, and retrieval-augmented generation, with hands-on experience building evaluation frameworks that measure AI quality, accuracy, and safety at scale. NeurIPS published researcher; track record of translating frontier AI research into shipped consumer products in financial services and regulated environments.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PROFESSIONAL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FINTELLECT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Founder &amp; CEO — fintellectai.io (iOS/Android/Web)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consumer-facing AI financial platform empowering retail investors with personalized financial guidance — architected RAG retrieval pipeline with ChromaDB vector store, multi-provider LLM orchestration (Claude, GPT-4, Gemini) with fallback routing, structured output validation, and token budget optimization.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Designed and shipped domain-specific Fintellect Agents — conversational AI agents embedded in mobile and web, each scoped to distinct financial focal points (investing, macro analysis, risk management), delivering context-aware advisory interactions that customers trust and rely on daily.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AI-powered charting and macroeconomic analysis tools to optimize asset class selection, execution planning, and risk management; integrated LLM models for automated trade analysis at scale.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0-to-1 product strategy, customer discovery, and go-to-market execution through App Store launch — iterating on consumer experience based on trader feedback and partnerships with industry influencers.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STREAMIO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Founder &amp; CEO — streamio.ai (macOS, Linux, iOS &amp; 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OpenClaw multi-agent orchestration framework with gateway protocol, subagent delegation, profile management, and session switching — enabling coordinated agentic AI workflows across financial markets, real estate, insurance, and health industries.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Shipped production Electron + React + TypeScript desktop application with real-time AI analysis using Claude (MCP SDK), enabling contextual conversations and automated report generation via domain-specific agents.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end-to-end auth and payments pipeline (Kinde OAuth 2.0, Stripe subscriptions) and MCP server exposing screen capture tools to AI coding assistants; led 0-to-1 product strategy and go-to-market execution.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INTUIT</w:t>
      </w:r>
      <w:r>
        <w:rPr>
          <w:rFonts w:ascii="Arial" w:hAnsi="Arial"/>
          <w:b w:val="0"/>
          <w:i w:val="0"/>
          <w:color w:val="888888"/>
          <w:sz w:val="15"/>
        </w:rPr>
        <w:t xml:space="preserve">  |  Mountain View,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Staff Product Manager — Consumer Platform &amp; Developer Infrastructure</w:t>
      </w:r>
      <w:r>
        <w:rPr>
          <w:rFonts w:ascii="Arial" w:hAnsi="Arial"/>
          <w:b w:val="0"/>
          <w:i w:val="0"/>
          <w:color w:val="888888"/>
          <w:sz w:val="15"/>
        </w:rPr>
        <w:t xml:space="preserve">    06/21 – 09/24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Achieved 275% YoY growth in platform engagements, scaling to 675M+ in FY23 across QuickBooks, TurboTax, Mint, Mailchimp, and Credit Karma — scaled throughput from 6K to 50K TPS via rSocket migration supporting ~1.5M concurrent connections with sub-25ms TP99.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Leveraged telemetry and usage data (SQL, BigQuery) to prioritize consumer pain points across ~20 mobile apps and 30+ product SKUs; built Asterias, a declarative asset lifecycle management platform with GraphQL API.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ICE Self-Service platform (DevPortal, GitOps config, ICE Playground), reducing developer onboarding from 2–3 weeks to minutes in pre-prod and &lt;24 hours for production, mitigating $1M+ in projected opex growth.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ICE Presence in async chat, generating $480K/month in additional invoicing; deployed Background-to-Foreground Messaging on iOS/Android with &lt;100ms latency. DeveloperWeek 2022 speaker.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Mailchimp GCP-to-AWS migration for MSaaS and initiated Drift Detection program — wrote Java JAR to scan Git repos for configuration drift and built remediation roadmap using OpenRewrite.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SPLUNK INC.</w:t>
      </w:r>
      <w:r>
        <w:rPr>
          <w:rFonts w:ascii="Arial" w:hAnsi="Arial"/>
          <w:b w:val="0"/>
          <w:i w:val="0"/>
          <w:color w:val="888888"/>
          <w:sz w:val="15"/>
        </w:rPr>
        <w:t xml:space="preserve">  |  San Francisco,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Senior Product Manager — Search Orchestration</w:t>
      </w:r>
      <w:r>
        <w:rPr>
          <w:rFonts w:ascii="Arial" w:hAnsi="Arial"/>
          <w:b w:val="0"/>
          <w:i w:val="0"/>
          <w:color w:val="888888"/>
          <w:sz w:val="15"/>
        </w:rPr>
        <w:t xml:space="preserve">    01/19 – 01/21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Owned Search Service (Go microservices), Search Catalog (PostgreSQL metadata service), and Splunk Processing Language (SPL/SPL2) — built roadmaps, PRDs, and acceptance criteria for Splunk Cloud Services.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query performance optimization initiative achieving up to 10x improvements for enterprise beta customer; designed RICE-based prioritization framework balancing internal, third-party, and Fortune 500 requirements. Splunk .conf18 &amp; .conf19 Speaker.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KAISER PERMANENTE</w:t>
      </w:r>
      <w:r>
        <w:rPr>
          <w:rFonts w:ascii="Arial" w:hAnsi="Arial"/>
          <w:b w:val="0"/>
          <w:i w:val="0"/>
          <w:color w:val="888888"/>
          <w:sz w:val="15"/>
        </w:rPr>
        <w:t xml:space="preserve">  |  Pleasanton,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SOA Technical Product Manager</w:t>
      </w:r>
      <w:r>
        <w:rPr>
          <w:rFonts w:ascii="Arial" w:hAnsi="Arial"/>
          <w:b w:val="0"/>
          <w:i w:val="0"/>
          <w:color w:val="888888"/>
          <w:sz w:val="15"/>
        </w:rPr>
        <w:t xml:space="preserve">    08/12 – 12/18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Shipped Splunk Logging-as-a-Service (1.7 TB daily, 200+ enterprise customers) and ITSI Application Monitoring-as-a-Service in a regulated healthcare environment — navigating compliance requirements while delivering platform capabilities at scale.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Redis/XC10 caching capability enterprise-wide to address scalability, fault tolerance, and data redundancy challenges.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BANK OF AMERICA MERRILL LYNCH</w:t>
      </w:r>
      <w:r>
        <w:rPr>
          <w:rFonts w:ascii="Arial" w:hAnsi="Arial"/>
          <w:b w:val="0"/>
          <w:i w:val="0"/>
          <w:color w:val="888888"/>
          <w:sz w:val="15"/>
        </w:rPr>
        <w:t xml:space="preserve">  |  Charlotte,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Tech MBA Summer Associate — Global Corporate &amp; Investment Banking T&amp;O</w:t>
      </w:r>
      <w:r>
        <w:rPr>
          <w:rFonts w:ascii="Arial" w:hAnsi="Arial"/>
          <w:b w:val="0"/>
          <w:i w:val="0"/>
          <w:color w:val="888888"/>
          <w:sz w:val="15"/>
        </w:rPr>
        <w:t xml:space="preserve">    06/11 – 08/11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Developed Monte Carlo simulation model to optimize DMAIC phase distribution across a $494M portfolio in Global Technology &amp; Operations — applying quantitative financial analysis in an investment banking context.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IBM</w:t>
      </w:r>
      <w:r>
        <w:rPr>
          <w:rFonts w:ascii="Arial" w:hAnsi="Arial"/>
          <w:b w:val="0"/>
          <w:i w:val="0"/>
          <w:color w:val="888888"/>
          <w:sz w:val="15"/>
        </w:rPr>
        <w:t xml:space="preserve">  |  Pittsburgh, PA / Foster City, CA / RTP,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Software Engineer — Business Intelligence Products</w:t>
      </w:r>
      <w:r>
        <w:rPr>
          <w:rFonts w:ascii="Arial" w:hAnsi="Arial"/>
          <w:b w:val="0"/>
          <w:i w:val="0"/>
          <w:color w:val="888888"/>
          <w:sz w:val="15"/>
        </w:rPr>
        <w:t xml:space="preserve">    07/05 – 03/10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Resolved multiple $1–5M high-severity customer escalations for enterprise BI software; led cross-functional root cause analysis, improving case resolution time by 20% across the Support Organization.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AI/ML RESEARCH &amp; PROJECTS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aeval — AI Model Evaluation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(2025–2026)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local-first LLM evaluation and observability platform with 5 core eval types (factuality, reasoning, instruction-following, safety, code generation), adversarial safety testing with refusal detection, and data contamination detection via SHA-256 hashing — directly addressing AI quality, accuracy, and safety measurement at scale.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Statistical rigor: bootstrap confidence intervals, Welch's t-test, Cohen's d effect size, saturation detection; CI/CD integration with regression detection and automated safety gates. Stack: FastAPI orchestrator, TimescaleDB, Redis job queue, Next.js dashboard, Ollama.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RL Workbench — Post-Training RL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3-phase RL post-training workbench: Reward Lab for designing and A/B testing reward functions (RLVR, learned, hybrid) across 4 datasets, Playground for real TRL-powered GRPO/DPO training with live SSE metric streaming, and Arena for head-to-head framework benchmarking (TRL, VeRL, OpenRLHF, NeMo RL) with GPU passthrough.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12 RL algorithms (PPO, GRPO, DAPO, DPO, SimPO, IPO, KTO, ORPO, SPPO, and more) with standardized throughput/memory/convergence benchmarking — enabling systematic model strategy decisions at the frontier of post-training research.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BRAIN — Protein Structure Prediction ML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(UC Berkeley 2004; rewritten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NeurIPS 2014 accepted paper; production PyTorch platform with 5 neural architectures (feedforward, GRU, Transformer, ESM-2, multi-task), MLflow experiment tracking, Optuna HPO, and FastAPI serving — spanning 413 to 8B parameters (19M-fold scale increase from original 2004 C++ BPTT implementation).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Deep Learning Education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(2025–2026)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Developed 60 interactive demos across 20 chapters covering transformers, GANs, diffusion models, autoencoders, and optimization — based on Goodfellow's Deep Learning textbook.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EDUCATION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 UNIVERSITY, SILICON VALLEY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Science — Software Management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Mountain View, CA (08/16)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MELLON, TEPPER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Business Administration — Concentrations: Finance, Quantitative Analysis, Economics</w:t>
      </w:r>
      <w:r>
        <w:rPr>
          <w:rFonts w:ascii="Arial" w:hAnsi="Arial"/>
          <w:b w:val="0"/>
          <w:i w:val="0"/>
          <w:color w:val="888888"/>
          <w:sz w:val="15"/>
        </w:rPr>
        <w:t xml:space="preserve">    Pittsburgh, PA (03/12)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UC BERKELEY, COLLEGE OF ENGINEERING &amp; HAAS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Bachelor of Science — Computational Engineering Science</w:t>
      </w:r>
      <w:r>
        <w:rPr>
          <w:rFonts w:ascii="Arial" w:hAnsi="Arial"/>
          <w:b w:val="0"/>
          <w:i w:val="0"/>
          <w:color w:val="888888"/>
          <w:sz w:val="15"/>
        </w:rPr>
        <w:t xml:space="preserve">    Berkeley, CA (12/05)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Certificate — Corporate Finance for Financial Engineering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TEACHING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DE ANZA COLLEGE</w:t>
      </w:r>
      <w:r>
        <w:rPr>
          <w:rFonts w:ascii="Arial" w:hAnsi="Arial"/>
          <w:b w:val="0"/>
          <w:i w:val="0"/>
          <w:color w:val="888888"/>
          <w:sz w:val="15"/>
        </w:rPr>
        <w:t xml:space="preserve">  |  Cupertino,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Adjunct Faculty — Computer Information Systems Department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04/18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CIS 35A/B, 36A/B — Java Programming; CIS 64C/G — Introduction to PL/SQL; CIS 44F — Introduction to Data Analytics; CIS 64E — Fundamentals of Large Scale Cloud Computing (AWS, GCP); CIS 102 — Ethical Hacking; CIS 104 — Digital Forensics; CIS 95F — Managing Cloud Projects.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ADDITIONAL INFORMATION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FAA Commercial Drone License; FAA Private Pilot License (intended CFI)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O'Reilly &amp; OER Publications: Data Analytics and Managing Cloud Projects (forthcoming Summer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First Tee Assistant Golf Coach — San Francisco Chapter (2012–Present), Pittsburgh Chapter (2011–2012)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Interests: Classical &amp; Jazz Saxophone (Alto/Tenor/Baritone), Triathlon, Golf, Intramural Basketball &amp; Soccer</w:t>
      </w:r>
    </w:p>
    <w:sectPr w:rsidR="00FC693F" w:rsidRPr="0006063C" w:rsidSect="00034616">
      <w:pgSz w:w="12240" w:h="15840"/>
      <w:pgMar w:top="400" w:right="560" w:bottom="380" w:left="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elixamoruw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