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Technical Product Manager with 12+ years building AI frameworks, developer-facing platforms, and post-training infrastructure at scale — from hand-coding BPTT in C++ to benchmarking GRPO/DPO across TRL, VeRL, OpenRLHF, and NeMo RL on GPU today. NeurIPS-published ML researcher with deep knowledge of the training/post-training landscape and E2E ML lifecycle. Scaled large-scale distributed systems to 675M+ engagements and 50K TPS at Intuit; shipped developer SDKs, OSS-style DevPortals, and research-to-production tooling adopted across 30+ product SKUs. Rare blend of product strategy, technical depth, and hands-on GPU-aware framework building.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framework engagements, scaling to 675M+ in FY23 across QuickBooks, TurboTax, Mint, Mailchimp, and Credit Karma; scaled large-scale distributed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enabling developers to go from zero to production-ready microservice in minutes; model for OSS-style developer product delivery.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 (Java, Python, Kotlin, Go, TypeScript, Scala, PHP, C++, Groovy), analyzing usage data and developer feedback to inform strategic language investment decisions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Used SQL and BigQuery telemetry to prioritize developer pain points across ~20 mobile apps and 30+ product SKUs;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 and initiated Drift Detection program: authored Java JAR library to scan Git repos for configuration drift and built remediation roadmap using OpenRewrite.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 and subagent delegation — enabling coordinated AI agent workflows and serving as a hands-on OSS-style developer product with deep customer interactions.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with 100+ components, Redux Toolkit state management, and native macOS/Linux support — providing real-time AI analysis via Claude (MCP SDK) and exposing screen capture tools to AI coding assistants.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AI framework development, and go-to-market execution including customer discovery interviews and iterative product refinement across real estate, insurance, and financial markets verticals.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delivering GenAI-powered financial advisory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conversational AI agents scoped to distinct financial focal points; executed go-to-market through App Store launch following customer discovery and influencer partnerships.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product roadmaps, PRDs, and acceptance criteria for Splunk Cloud Services (SCS).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initiative for beta customer, building mirrored Enterprise topology for benchmark testing and achieving up to 10x performance improvements in SCS search — directly analogous to GPU performance profiling and optimization.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months; designed RICE-based prioritization framework across 3 microservice backlogs balancing Fortune 500 and third-party developer requirements. Splunk .conf18/.conf19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enterprise customers) and ITSI Application Monitoring-as-a-Service.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 caching capability across the enterprise to address scalability, fault tolerance, and data redundancy challenges;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improving case resolution time by 20% across the Support Organization.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post-training workbench covering the full RLHF/DPO pipeline: Reward Lab for designing and A/B testing reward functions (RLVR, learned, hybrid) across 4 datasets (GSM8K, MATH, HumanEval, UltraFeedback), Playground for real TRL-powered GRPO/DPO training with live SSE metric streaming on Apple Silicon (MPS) or CUDA, and Arena for head-to-head framework benchmarking (TRL, VeRL, OpenRLHF, NeMo RL) with GPU Docker passthrough.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 and standardized throughput/memory/convergence benchmarking across frameworks — directly applicable to optimizing AI frameworks on NVIDIA GPUs.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testing, and CI/CD regression detection with automated safety gates.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 on neural networks for protein secondary structure prediction; 2026 rewrite spans 413 to 8B parameters (19M-fold scale increase) across 5 architectures (feedforward, GRU, Transformer, ESM-2, multi-task) with MLflow, Optuna HPO, and FastAPI serving.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Original 2004 system: hand-coded neural network in C++ with custom BPTT — foundational ML depth underpinning current post-training and deep learning framework work.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Reduced model evaluation cycles from 72 hours to ~4 minutes using multimodal AI (Claude/GPT-4V) spatial reasoning on prediction frames; zero-integration architecture captures from any visualization tool (RViz, Matplotlib) via screen capture, generating structured PASS/FAIL reports with confidence scores.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40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